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28" w:rsidRPr="00C37F72" w:rsidRDefault="006B4D28" w:rsidP="006B4D2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ru-RU"/>
        </w:rPr>
      </w:pPr>
      <w:r w:rsidRPr="00C37F72">
        <w:rPr>
          <w:color w:val="222222"/>
          <w:sz w:val="26"/>
          <w:szCs w:val="26"/>
          <w:lang w:val="uk-UA"/>
        </w:rPr>
        <w:t>Згідно пункту 6 Правил надання послуги з постачання гарячої води, затверджених Постановою КМУ від 11 грудня 2019 року № 1182  </w:t>
      </w:r>
      <w:r w:rsidRPr="00C37F72">
        <w:rPr>
          <w:color w:val="222222"/>
          <w:sz w:val="26"/>
          <w:szCs w:val="26"/>
          <w:lang w:val="ru-RU"/>
        </w:rPr>
        <w:t>п</w:t>
      </w:r>
      <w:proofErr w:type="spellStart"/>
      <w:r w:rsidRPr="00C37F72">
        <w:rPr>
          <w:color w:val="222222"/>
          <w:sz w:val="26"/>
          <w:szCs w:val="26"/>
          <w:lang w:val="uk-UA"/>
        </w:rPr>
        <w:t>араметри</w:t>
      </w:r>
      <w:proofErr w:type="spellEnd"/>
      <w:r w:rsidRPr="00C37F72">
        <w:rPr>
          <w:color w:val="222222"/>
          <w:sz w:val="26"/>
          <w:szCs w:val="26"/>
          <w:lang w:val="uk-UA"/>
        </w:rPr>
        <w:t xml:space="preserve"> якості гарячої води повинні відповідати вимогам державних санітарних норм і правил на питну воду. Значення температури гарячої води становить не нижче ніж 50°C і не вище ніж 75°C на межі </w:t>
      </w:r>
      <w:proofErr w:type="spellStart"/>
      <w:r w:rsidRPr="00C37F72">
        <w:rPr>
          <w:color w:val="222222"/>
          <w:sz w:val="26"/>
          <w:szCs w:val="26"/>
          <w:lang w:val="uk-UA"/>
        </w:rPr>
        <w:t>внутрішньобудинкових</w:t>
      </w:r>
      <w:proofErr w:type="spellEnd"/>
      <w:r w:rsidRPr="00C37F72">
        <w:rPr>
          <w:color w:val="222222"/>
          <w:sz w:val="26"/>
          <w:szCs w:val="26"/>
          <w:lang w:val="uk-UA"/>
        </w:rPr>
        <w:t xml:space="preserve"> систем багатоквартирного будинку та інженерно-технічних систем приміщення споживача та не нижче ніж 55°C і не вище ніж 75°C на межі централізованих інженерно-технічних систем постачання послуги виконавця та </w:t>
      </w:r>
      <w:proofErr w:type="spellStart"/>
      <w:r w:rsidRPr="00C37F72">
        <w:rPr>
          <w:color w:val="222222"/>
          <w:sz w:val="26"/>
          <w:szCs w:val="26"/>
          <w:lang w:val="uk-UA"/>
        </w:rPr>
        <w:t>внутрішньобудинкових</w:t>
      </w:r>
      <w:proofErr w:type="spellEnd"/>
      <w:r w:rsidRPr="00C37F72">
        <w:rPr>
          <w:color w:val="222222"/>
          <w:sz w:val="26"/>
          <w:szCs w:val="26"/>
          <w:lang w:val="uk-UA"/>
        </w:rPr>
        <w:t xml:space="preserve"> систем багатоквартирного будинку. Значення температури гарячої води в інших будівлях визначається згідно з державними будівельними нормами і правилами. Значення тиску гарячої води повинно відповідати параметрам, встановленим державними будівельними нормами і правилами.</w:t>
      </w:r>
    </w:p>
    <w:p w:rsidR="006B4D28" w:rsidRPr="00C37F72" w:rsidRDefault="006B4D28" w:rsidP="006B4D2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ru-RU"/>
        </w:rPr>
      </w:pPr>
      <w:r w:rsidRPr="00C37F72">
        <w:rPr>
          <w:color w:val="222222"/>
          <w:sz w:val="26"/>
          <w:szCs w:val="26"/>
          <w:lang w:val="uk-UA"/>
        </w:rPr>
        <w:t>Значення тиску гарячої води відповідає параметрам, встановленим державними будівельними нормами, а саме: не перевищує 0,45 МПа, на відмітці найбільше вище розташованих приладів - за паспортними даними цих приладів, а за відсутності таких даних - не менше 0,2 МПа і не більше ніж 0,45 МПа на всіх інших поверхах (відповідно до п.6.6 ДБН В.2.5-64:2012).</w:t>
      </w:r>
    </w:p>
    <w:p w:rsidR="006B4D28" w:rsidRPr="00C37F72" w:rsidRDefault="006B4D28" w:rsidP="006B4D2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ru-RU"/>
        </w:rPr>
      </w:pPr>
      <w:r w:rsidRPr="00C37F72">
        <w:rPr>
          <w:color w:val="222222"/>
          <w:sz w:val="26"/>
          <w:szCs w:val="26"/>
          <w:lang w:val="uk-UA"/>
        </w:rPr>
        <w:t>Крім того, якісні характеристики теплоносія та гідравлічний режим теплової мережі визначні пунктом 9 ДБН В.2.5-39:2008.</w:t>
      </w:r>
    </w:p>
    <w:p w:rsidR="006B4D28" w:rsidRPr="00C37F72" w:rsidRDefault="006B4D28" w:rsidP="006B4D2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ru-RU"/>
        </w:rPr>
      </w:pPr>
      <w:r w:rsidRPr="00C37F72">
        <w:rPr>
          <w:color w:val="222222"/>
          <w:sz w:val="26"/>
          <w:szCs w:val="26"/>
          <w:lang w:val="uk-UA"/>
        </w:rPr>
        <w:t>Відповідно до пункту 9.8.4 ДБН В.2.5-39:2008 на джерелах теплової енергії в опалювальний період слід виконувати якісне регулювання температури теплоносія в подавальному трубопроводі відповідно до температурного графіка.</w:t>
      </w:r>
    </w:p>
    <w:p w:rsidR="00C37F72" w:rsidRPr="00C37F72" w:rsidRDefault="006B4D28" w:rsidP="0030170F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C37F72">
        <w:rPr>
          <w:color w:val="222222"/>
          <w:sz w:val="26"/>
          <w:szCs w:val="26"/>
          <w:lang w:val="uk-UA"/>
        </w:rPr>
        <w:t xml:space="preserve">Пунктом 10.9 ДБН В.2.5-39:2008  визначено, що під час роботи водяних теплових мереж для запобігання закипанню води за її максимальної температури значення тиску у будь-якій точці подавальної лінії, у трубопроводах і устаткуванні джерел теплопостачання, теплових пунктах і у верхніх точках безпосередньо приєднаних систем </w:t>
      </w:r>
      <w:proofErr w:type="spellStart"/>
      <w:r w:rsidRPr="00C37F72">
        <w:rPr>
          <w:color w:val="222222"/>
          <w:sz w:val="26"/>
          <w:szCs w:val="26"/>
          <w:lang w:val="uk-UA"/>
        </w:rPr>
        <w:t>теплоспоживання</w:t>
      </w:r>
      <w:proofErr w:type="spellEnd"/>
      <w:r w:rsidRPr="00C37F72">
        <w:rPr>
          <w:color w:val="222222"/>
          <w:sz w:val="26"/>
          <w:szCs w:val="26"/>
          <w:lang w:val="uk-UA"/>
        </w:rPr>
        <w:t xml:space="preserve"> повинно перевищувати значення тиску закипання води не менше ніж на 0,05 МПа відповідно до вимог ГКД 34.20.507. Згідно проектного рішення, гідравлічний режим теплової мережі 0,5 МПа в подавальному трубопроводі та 0,3 МПа у</w:t>
      </w:r>
      <w:r w:rsidR="0030170F" w:rsidRPr="00C37F72">
        <w:rPr>
          <w:color w:val="222222"/>
          <w:sz w:val="26"/>
          <w:szCs w:val="26"/>
          <w:lang w:val="uk-UA"/>
        </w:rPr>
        <w:t xml:space="preserve"> </w:t>
      </w:r>
      <w:r w:rsidRPr="00C37F72">
        <w:rPr>
          <w:color w:val="222222"/>
          <w:sz w:val="26"/>
          <w:szCs w:val="26"/>
          <w:lang w:val="uk-UA"/>
        </w:rPr>
        <w:t>зворотному.</w:t>
      </w:r>
      <w:r w:rsidRPr="00C37F72">
        <w:rPr>
          <w:rFonts w:ascii="Arial" w:hAnsi="Arial" w:cs="Arial"/>
          <w:color w:val="000000"/>
          <w:sz w:val="26"/>
          <w:szCs w:val="26"/>
        </w:rPr>
        <w:t> </w:t>
      </w:r>
    </w:p>
    <w:p w:rsidR="00C903B3" w:rsidRPr="006B4D28" w:rsidRDefault="000E0673">
      <w:pPr>
        <w:rPr>
          <w:lang w:val="ru-RU"/>
        </w:rPr>
      </w:pPr>
      <w:bookmarkStart w:id="0" w:name="_GoBack"/>
      <w:bookmarkEnd w:id="0"/>
      <w:r w:rsidRPr="000E0673">
        <w:rPr>
          <w:noProof/>
        </w:rPr>
        <w:drawing>
          <wp:inline distT="0" distB="0" distL="0" distR="0" wp14:anchorId="18121BAC" wp14:editId="09BC4C8F">
            <wp:extent cx="6113819" cy="3438301"/>
            <wp:effectExtent l="0" t="0" r="1270" b="0"/>
            <wp:docPr id="3" name="Рисунок 3" descr="C:\Users\jl_energetik\Desktop\графік температурний 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l_energetik\Desktop\графік температурний табл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10" cy="34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3B3" w:rsidRPr="006B4D28" w:rsidSect="00866EDF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12"/>
    <w:rsid w:val="000E0673"/>
    <w:rsid w:val="0030170F"/>
    <w:rsid w:val="004B3D5B"/>
    <w:rsid w:val="006B4D28"/>
    <w:rsid w:val="00827112"/>
    <w:rsid w:val="00866EDF"/>
    <w:rsid w:val="00C37F72"/>
    <w:rsid w:val="00C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E143-FB0C-4996-BE45-D333EFE3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B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jl_energetik</dc:creator>
  <cp:keywords/>
  <dc:description/>
  <cp:lastModifiedBy>jl_energetik</cp:lastModifiedBy>
  <cp:revision>4</cp:revision>
  <cp:lastPrinted>2022-08-04T11:23:00Z</cp:lastPrinted>
  <dcterms:created xsi:type="dcterms:W3CDTF">2022-08-04T11:12:00Z</dcterms:created>
  <dcterms:modified xsi:type="dcterms:W3CDTF">2022-08-04T11:51:00Z</dcterms:modified>
</cp:coreProperties>
</file>